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龙眼港船代收费目录清单</w:t>
      </w:r>
    </w:p>
    <w:tbl>
      <w:tblPr>
        <w:tblStyle w:val="3"/>
        <w:tblpPr w:leftFromText="180" w:rightFromText="180" w:vertAnchor="text" w:horzAnchor="page" w:tblpX="1014" w:tblpY="249"/>
        <w:tblOverlap w:val="never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25"/>
        <w:gridCol w:w="2355"/>
        <w:gridCol w:w="2280"/>
        <w:gridCol w:w="2310"/>
        <w:gridCol w:w="213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收费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主体</w:t>
            </w:r>
          </w:p>
        </w:tc>
        <w:tc>
          <w:tcPr>
            <w:tcW w:w="23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22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收费标准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计价单位</w:t>
            </w:r>
          </w:p>
        </w:tc>
        <w:tc>
          <w:tcPr>
            <w:tcW w:w="21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服务内容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龙眼船代</w:t>
            </w:r>
          </w:p>
        </w:tc>
        <w:tc>
          <w:tcPr>
            <w:tcW w:w="235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船舶代理费</w:t>
            </w:r>
          </w:p>
        </w:tc>
        <w:tc>
          <w:tcPr>
            <w:tcW w:w="22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0.8*船舶净吨（不足2000净吨，按2000净吨计收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航次</w:t>
            </w:r>
          </w:p>
        </w:tc>
        <w:tc>
          <w:tcPr>
            <w:tcW w:w="21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办理进出境手续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船舶代理费（件杂货）</w:t>
            </w:r>
          </w:p>
        </w:tc>
        <w:tc>
          <w:tcPr>
            <w:tcW w:w="22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0.8*船舶净吨*2+3.17*货量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航次</w:t>
            </w:r>
          </w:p>
        </w:tc>
        <w:tc>
          <w:tcPr>
            <w:tcW w:w="21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办理进出境手续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船舶代理费（散货）</w:t>
            </w:r>
          </w:p>
        </w:tc>
        <w:tc>
          <w:tcPr>
            <w:tcW w:w="22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0.8*船舶净吨*2+3.17*货量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航次</w:t>
            </w:r>
          </w:p>
        </w:tc>
        <w:tc>
          <w:tcPr>
            <w:tcW w:w="21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办理进出境手续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龙眼船代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更换船员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人次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办理上下船手续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备件通关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600元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票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备件代理报关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换单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500元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票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提货单打印及放货服务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龙眼船代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20尺集装箱代理费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TEU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办理集装箱手续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40尺集装箱代理费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50元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FEU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办理集装箱手续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空箱代理费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TEU/FEU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办理空箱手续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旅客代理费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船票收入*2%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人次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办理旅客手续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EDI传输费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航次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发送舱单数据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龙眼船代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邀请函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900元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人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代理服务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物料报关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货值10%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票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代理报关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签证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600元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人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代理服务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交通费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威海机场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代理服务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日间路况良好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交通费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1200元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青岛机场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代理报关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日间路况良好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交通费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1000元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烟台机场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代理服务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日间路况良好</w:t>
            </w:r>
          </w:p>
        </w:tc>
      </w:tr>
    </w:tbl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注：1.行政事业性收费、政府性基金、实行政府定价（含政府指导价）的经营服务性收费适用本表。</w:t>
      </w:r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2.收费形式是指该项收费是属于行政事业性收费、政府性基金或经营服务性收费。其中，属于经营服务性收费的项目，按实际情况分别填写“政府定价”或“政府指导价”。</w:t>
      </w:r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3.在收费标准中应注明进口或出口。</w:t>
      </w:r>
      <w:bookmarkStart w:id="0" w:name="_GoBack"/>
      <w:bookmarkEnd w:id="0"/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4.项目名称有增加或者已列项目在本口岸不收取的，可以增删。</w:t>
      </w:r>
    </w:p>
    <w:p>
      <w:pPr>
        <w:ind w:firstLine="420" w:firstLineChars="200"/>
      </w:pPr>
      <w:r>
        <w:rPr>
          <w:rFonts w:hint="eastAsia" w:ascii="方正仿宋_GBK" w:eastAsia="方正仿宋_GBK"/>
          <w:szCs w:val="32"/>
          <w:lang w:eastAsia="zh-CN"/>
        </w:rPr>
        <w:t>5.服务内容、收费形式及依据供各地填写时参考，不准确的地方可以修改。没有的要补充完善。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96697"/>
    <w:rsid w:val="1F740BA8"/>
    <w:rsid w:val="55BA2B0C"/>
    <w:rsid w:val="6D535020"/>
    <w:rsid w:val="7D09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2018-11-15T07:04:00Z</dcterms:created>
  <dc:creator>Administrator</dc:creator>
  <cp:lastModifiedBy>Administrator</cp:lastModifiedBy>
  <dcterms:modified xsi:type="dcterms:W3CDTF">2018-11-26T02:14:28Z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