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龙眼港进出口环节收费目录清单（政府性基金、政府定价和政府指导价部分）</w:t>
      </w:r>
    </w:p>
    <w:p>
      <w:pPr>
        <w:jc w:val="center"/>
        <w:rPr>
          <w:rFonts w:hint="eastAsia" w:ascii="方正仿宋_GBK" w:eastAsia="方正仿宋_GBK"/>
          <w:sz w:val="32"/>
          <w:szCs w:val="32"/>
          <w:lang w:eastAsia="zh-CN"/>
        </w:rPr>
      </w:pPr>
    </w:p>
    <w:tbl>
      <w:tblPr>
        <w:tblStyle w:val="3"/>
        <w:tblpPr w:leftFromText="180" w:rightFromText="180" w:vertAnchor="text" w:horzAnchor="page" w:tblpX="1014" w:tblpY="249"/>
        <w:tblOverlap w:val="never"/>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304"/>
        <w:gridCol w:w="2596"/>
        <w:gridCol w:w="1440"/>
        <w:gridCol w:w="1365"/>
        <w:gridCol w:w="2505"/>
        <w:gridCol w:w="2520"/>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762" w:type="dxa"/>
            <w:vAlign w:val="center"/>
          </w:tcPr>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序号</w:t>
            </w:r>
          </w:p>
        </w:tc>
        <w:tc>
          <w:tcPr>
            <w:tcW w:w="1304" w:type="dxa"/>
            <w:vAlign w:val="center"/>
          </w:tcPr>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收费</w:t>
            </w: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主体</w:t>
            </w:r>
          </w:p>
        </w:tc>
        <w:tc>
          <w:tcPr>
            <w:tcW w:w="2596" w:type="dxa"/>
            <w:vAlign w:val="center"/>
          </w:tcPr>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tc>
        <w:tc>
          <w:tcPr>
            <w:tcW w:w="1440" w:type="dxa"/>
            <w:tcBorders>
              <w:right w:val="single" w:color="auto" w:sz="4" w:space="0"/>
            </w:tcBorders>
            <w:vAlign w:val="center"/>
          </w:tcPr>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收费标准</w:t>
            </w:r>
          </w:p>
        </w:tc>
        <w:tc>
          <w:tcPr>
            <w:tcW w:w="1365" w:type="dxa"/>
            <w:tcBorders>
              <w:left w:val="single" w:color="auto" w:sz="4" w:space="0"/>
            </w:tcBorders>
            <w:vAlign w:val="center"/>
          </w:tcPr>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计价单位</w:t>
            </w:r>
          </w:p>
        </w:tc>
        <w:tc>
          <w:tcPr>
            <w:tcW w:w="2505" w:type="dxa"/>
            <w:tcBorders>
              <w:right w:val="single" w:color="auto" w:sz="4" w:space="0"/>
            </w:tcBorders>
            <w:vAlign w:val="center"/>
          </w:tcPr>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服务内容</w:t>
            </w:r>
          </w:p>
        </w:tc>
        <w:tc>
          <w:tcPr>
            <w:tcW w:w="2520" w:type="dxa"/>
            <w:tcBorders>
              <w:left w:val="single" w:color="auto" w:sz="4" w:space="0"/>
              <w:right w:val="single" w:color="auto" w:sz="4" w:space="0"/>
            </w:tcBorders>
            <w:vAlign w:val="center"/>
          </w:tcPr>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收费形式及依据</w:t>
            </w:r>
          </w:p>
        </w:tc>
        <w:tc>
          <w:tcPr>
            <w:tcW w:w="1647" w:type="dxa"/>
            <w:tcBorders>
              <w:left w:val="single" w:color="auto" w:sz="4" w:space="0"/>
            </w:tcBorders>
            <w:vAlign w:val="center"/>
          </w:tcPr>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3" w:hRule="atLeast"/>
        </w:trPr>
        <w:tc>
          <w:tcPr>
            <w:tcW w:w="762" w:type="dxa"/>
            <w:vMerge w:val="restart"/>
            <w:vAlign w:val="center"/>
          </w:tcPr>
          <w:p>
            <w:pPr>
              <w:jc w:val="center"/>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eastAsia="zh-CN"/>
              </w:rPr>
              <w:t>1</w:t>
            </w:r>
          </w:p>
        </w:tc>
        <w:tc>
          <w:tcPr>
            <w:tcW w:w="1304" w:type="dxa"/>
            <w:vMerge w:val="restart"/>
            <w:vAlign w:val="center"/>
          </w:tcPr>
          <w:p>
            <w:pPr>
              <w:jc w:val="center"/>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eastAsia="zh-CN"/>
              </w:rPr>
              <w:t>海事部门</w:t>
            </w:r>
          </w:p>
        </w:tc>
        <w:tc>
          <w:tcPr>
            <w:tcW w:w="2596" w:type="dxa"/>
            <w:tcBorders>
              <w:bottom w:val="single" w:color="auto" w:sz="4" w:space="0"/>
            </w:tcBorders>
            <w:vAlign w:val="center"/>
          </w:tcPr>
          <w:p>
            <w:pPr>
              <w:jc w:val="left"/>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val="en-US" w:eastAsia="zh-CN"/>
              </w:rPr>
              <w:t>20尺</w:t>
            </w:r>
            <w:r>
              <w:rPr>
                <w:rFonts w:hint="eastAsia" w:ascii="宋体" w:hAnsi="宋体" w:eastAsia="宋体"/>
                <w:color w:val="000000"/>
                <w:shd w:val="clear" w:color="auto" w:fill="FFFFFF"/>
                <w:lang w:eastAsia="zh-CN"/>
              </w:rPr>
              <w:t>港口建设费</w:t>
            </w:r>
          </w:p>
        </w:tc>
        <w:tc>
          <w:tcPr>
            <w:tcW w:w="1440" w:type="dxa"/>
            <w:tcBorders>
              <w:bottom w:val="single" w:color="auto" w:sz="4" w:space="0"/>
              <w:right w:val="single" w:color="auto" w:sz="4" w:space="0"/>
            </w:tcBorders>
            <w:vAlign w:val="center"/>
          </w:tcPr>
          <w:p>
            <w:pPr>
              <w:jc w:val="center"/>
              <w:rPr>
                <w:rFonts w:hint="eastAsia" w:ascii="宋体" w:hAnsi="宋体" w:eastAsia="宋体"/>
                <w:color w:val="000000"/>
                <w:shd w:val="clear" w:color="auto" w:fill="FFFFFF"/>
                <w:lang w:val="en-US" w:eastAsia="zh-CN"/>
              </w:rPr>
            </w:pPr>
          </w:p>
          <w:p>
            <w:pPr>
              <w:jc w:val="center"/>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64元</w:t>
            </w:r>
          </w:p>
          <w:p>
            <w:pPr>
              <w:jc w:val="center"/>
              <w:rPr>
                <w:rFonts w:hint="eastAsia" w:ascii="宋体" w:hAnsi="宋体" w:eastAsia="宋体"/>
                <w:color w:val="000000"/>
                <w:shd w:val="clear" w:color="auto" w:fill="FFFFFF"/>
                <w:lang w:val="en-US" w:eastAsia="zh-CN"/>
              </w:rPr>
            </w:pPr>
          </w:p>
        </w:tc>
        <w:tc>
          <w:tcPr>
            <w:tcW w:w="1365" w:type="dxa"/>
            <w:tcBorders>
              <w:left w:val="single" w:color="auto" w:sz="4" w:space="0"/>
              <w:bottom w:val="single" w:color="auto" w:sz="4" w:space="0"/>
            </w:tcBorders>
            <w:vAlign w:val="center"/>
          </w:tcPr>
          <w:p>
            <w:pPr>
              <w:jc w:val="left"/>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TEU</w:t>
            </w:r>
          </w:p>
        </w:tc>
        <w:tc>
          <w:tcPr>
            <w:tcW w:w="2505" w:type="dxa"/>
            <w:vMerge w:val="restart"/>
            <w:tcBorders>
              <w:right w:val="single" w:color="auto" w:sz="4" w:space="0"/>
            </w:tcBorders>
            <w:vAlign w:val="top"/>
          </w:tcPr>
          <w:p>
            <w:pPr>
              <w:jc w:val="left"/>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eastAsia="zh-CN"/>
              </w:rPr>
              <w:t>1.收费对象为经对外开放口岸港口辖区范围内所有码头、浮筒、锚地、水域装卸（含过驳）货物的托运人（或其代理人）或收货人（或其代理人）。减、免、缓征货物征收按照财综〔2011〕29号及相关规定执行。</w:t>
            </w:r>
            <w:r>
              <w:rPr>
                <w:rFonts w:hint="eastAsia" w:ascii="宋体" w:hAnsi="宋体" w:eastAsia="宋体"/>
                <w:color w:val="000000"/>
                <w:shd w:val="clear" w:color="auto" w:fill="FFFFFF"/>
                <w:lang w:eastAsia="zh-CN"/>
              </w:rPr>
              <w:br w:type="textWrapping"/>
            </w:r>
            <w:r>
              <w:rPr>
                <w:rFonts w:hint="eastAsia" w:ascii="宋体" w:hAnsi="宋体" w:eastAsia="宋体"/>
                <w:color w:val="000000"/>
                <w:shd w:val="clear" w:color="auto" w:fill="FFFFFF"/>
                <w:lang w:eastAsia="zh-CN"/>
              </w:rPr>
              <w:t>2.自2016年4月1日起，对水运进港货物中属于船过船作业以及卸船未提离港口库场又直接办理转船转运的，无论收货人（或其代理人）是否发生变更，在水运全过程只征收一次港口建设费。</w:t>
            </w:r>
          </w:p>
        </w:tc>
        <w:tc>
          <w:tcPr>
            <w:tcW w:w="2520" w:type="dxa"/>
            <w:vMerge w:val="restart"/>
            <w:tcBorders>
              <w:left w:val="single" w:color="auto" w:sz="4" w:space="0"/>
              <w:right w:val="single" w:color="auto" w:sz="4" w:space="0"/>
            </w:tcBorders>
            <w:vAlign w:val="top"/>
          </w:tcPr>
          <w:p>
            <w:pPr>
              <w:jc w:val="left"/>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eastAsia="zh-CN"/>
              </w:rPr>
              <w:t>政府基金。依据财综〔2011〕29号、财综便字〔2011〕208号、海征稽〔2011〕492号、海征稽〔2011〕860号、财综〔2012〕40号、财税〔2015〕131号、海征稽〔2016〕114号、海征稽〔2016〕557号、海征稽〔2017〕61号、财审综函〔2018〕74号、海征稽〔2018〕304号等文件收取。</w:t>
            </w:r>
          </w:p>
        </w:tc>
        <w:tc>
          <w:tcPr>
            <w:tcW w:w="1647" w:type="dxa"/>
            <w:vMerge w:val="restart"/>
            <w:tcBorders>
              <w:left w:val="single" w:color="auto" w:sz="4" w:space="0"/>
            </w:tcBorders>
            <w:vAlign w:val="center"/>
          </w:tcPr>
          <w:p>
            <w:pPr>
              <w:jc w:val="left"/>
              <w:rPr>
                <w:rFonts w:hint="eastAsia" w:ascii="宋体" w:hAnsi="宋体" w:eastAsia="宋体"/>
                <w:color w:val="000000"/>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7" w:hRule="atLeast"/>
        </w:trPr>
        <w:tc>
          <w:tcPr>
            <w:tcW w:w="762" w:type="dxa"/>
            <w:vMerge w:val="continue"/>
            <w:tcBorders>
              <w:bottom w:val="nil"/>
            </w:tcBorders>
            <w:vAlign w:val="center"/>
          </w:tcPr>
          <w:p>
            <w:pPr>
              <w:jc w:val="center"/>
              <w:rPr>
                <w:rFonts w:hint="eastAsia" w:ascii="宋体" w:hAnsi="宋体" w:eastAsia="宋体"/>
                <w:color w:val="000000"/>
                <w:shd w:val="clear" w:color="auto" w:fill="FFFFFF"/>
                <w:lang w:eastAsia="zh-CN"/>
              </w:rPr>
            </w:pPr>
          </w:p>
        </w:tc>
        <w:tc>
          <w:tcPr>
            <w:tcW w:w="1304" w:type="dxa"/>
            <w:vMerge w:val="continue"/>
            <w:tcBorders>
              <w:bottom w:val="nil"/>
            </w:tcBorders>
            <w:vAlign w:val="center"/>
          </w:tcPr>
          <w:p>
            <w:pPr>
              <w:jc w:val="center"/>
              <w:rPr>
                <w:rFonts w:hint="eastAsia" w:ascii="宋体" w:hAnsi="宋体" w:eastAsia="宋体"/>
                <w:color w:val="000000"/>
                <w:shd w:val="clear" w:color="auto" w:fill="FFFFFF"/>
                <w:lang w:eastAsia="zh-CN"/>
              </w:rPr>
            </w:pPr>
          </w:p>
        </w:tc>
        <w:tc>
          <w:tcPr>
            <w:tcW w:w="2596" w:type="dxa"/>
            <w:tcBorders>
              <w:bottom w:val="single" w:color="auto" w:sz="4" w:space="0"/>
            </w:tcBorders>
            <w:vAlign w:val="center"/>
          </w:tcPr>
          <w:p>
            <w:pPr>
              <w:jc w:val="left"/>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val="en-US" w:eastAsia="zh-CN"/>
              </w:rPr>
              <w:t>40尺</w:t>
            </w:r>
            <w:r>
              <w:rPr>
                <w:rFonts w:hint="eastAsia" w:ascii="宋体" w:hAnsi="宋体" w:eastAsia="宋体"/>
                <w:color w:val="000000"/>
                <w:shd w:val="clear" w:color="auto" w:fill="FFFFFF"/>
                <w:lang w:eastAsia="zh-CN"/>
              </w:rPr>
              <w:t>港口建设费</w:t>
            </w:r>
          </w:p>
        </w:tc>
        <w:tc>
          <w:tcPr>
            <w:tcW w:w="1440" w:type="dxa"/>
            <w:tcBorders>
              <w:bottom w:val="single" w:color="auto" w:sz="4" w:space="0"/>
              <w:right w:val="single" w:color="auto" w:sz="4" w:space="0"/>
            </w:tcBorders>
            <w:vAlign w:val="center"/>
          </w:tcPr>
          <w:p>
            <w:pPr>
              <w:jc w:val="center"/>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96元</w:t>
            </w:r>
          </w:p>
        </w:tc>
        <w:tc>
          <w:tcPr>
            <w:tcW w:w="1365" w:type="dxa"/>
            <w:tcBorders>
              <w:left w:val="single" w:color="auto" w:sz="4" w:space="0"/>
              <w:bottom w:val="single" w:color="auto" w:sz="4" w:space="0"/>
            </w:tcBorders>
            <w:vAlign w:val="center"/>
          </w:tcPr>
          <w:p>
            <w:pPr>
              <w:jc w:val="left"/>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FEU</w:t>
            </w:r>
          </w:p>
        </w:tc>
        <w:tc>
          <w:tcPr>
            <w:tcW w:w="2505" w:type="dxa"/>
            <w:vMerge w:val="continue"/>
            <w:tcBorders>
              <w:bottom w:val="single" w:color="auto" w:sz="4" w:space="0"/>
              <w:right w:val="single" w:color="auto" w:sz="4" w:space="0"/>
            </w:tcBorders>
            <w:vAlign w:val="top"/>
          </w:tcPr>
          <w:p>
            <w:pPr>
              <w:jc w:val="left"/>
              <w:rPr>
                <w:rFonts w:hint="eastAsia" w:ascii="宋体" w:hAnsi="宋体" w:eastAsia="宋体"/>
                <w:color w:val="000000"/>
                <w:shd w:val="clear" w:color="auto" w:fill="FFFFFF"/>
                <w:lang w:eastAsia="zh-CN"/>
              </w:rPr>
            </w:pPr>
          </w:p>
        </w:tc>
        <w:tc>
          <w:tcPr>
            <w:tcW w:w="2520" w:type="dxa"/>
            <w:vMerge w:val="continue"/>
            <w:tcBorders>
              <w:left w:val="single" w:color="auto" w:sz="4" w:space="0"/>
              <w:bottom w:val="single" w:color="auto" w:sz="4" w:space="0"/>
              <w:right w:val="single" w:color="auto" w:sz="4" w:space="0"/>
            </w:tcBorders>
            <w:vAlign w:val="top"/>
          </w:tcPr>
          <w:p>
            <w:pPr>
              <w:jc w:val="left"/>
              <w:rPr>
                <w:rFonts w:hint="eastAsia" w:ascii="宋体" w:hAnsi="宋体" w:eastAsia="宋体"/>
                <w:color w:val="000000"/>
                <w:shd w:val="clear" w:color="auto" w:fill="FFFFFF"/>
                <w:lang w:eastAsia="zh-CN"/>
              </w:rPr>
            </w:pPr>
          </w:p>
        </w:tc>
        <w:tc>
          <w:tcPr>
            <w:tcW w:w="1647" w:type="dxa"/>
            <w:vMerge w:val="continue"/>
            <w:tcBorders>
              <w:left w:val="single" w:color="auto" w:sz="4" w:space="0"/>
              <w:bottom w:val="single" w:color="auto" w:sz="4" w:space="0"/>
            </w:tcBorders>
            <w:vAlign w:val="center"/>
          </w:tcPr>
          <w:p>
            <w:pPr>
              <w:jc w:val="left"/>
              <w:rPr>
                <w:rFonts w:hint="eastAsia" w:ascii="宋体" w:hAnsi="宋体" w:eastAsia="宋体"/>
                <w:color w:val="000000"/>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8" w:hRule="atLeast"/>
        </w:trPr>
        <w:tc>
          <w:tcPr>
            <w:tcW w:w="762" w:type="dxa"/>
            <w:vMerge w:val="restart"/>
            <w:tcBorders>
              <w:top w:val="single" w:color="auto" w:sz="4" w:space="0"/>
            </w:tcBorders>
            <w:vAlign w:val="center"/>
          </w:tcPr>
          <w:p>
            <w:pPr>
              <w:jc w:val="center"/>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2</w:t>
            </w:r>
          </w:p>
        </w:tc>
        <w:tc>
          <w:tcPr>
            <w:tcW w:w="1304" w:type="dxa"/>
            <w:vMerge w:val="restart"/>
            <w:tcBorders>
              <w:top w:val="single" w:color="auto" w:sz="4" w:space="0"/>
            </w:tcBorders>
            <w:vAlign w:val="center"/>
          </w:tcPr>
          <w:p>
            <w:pPr>
              <w:jc w:val="center"/>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eastAsia="zh-CN"/>
              </w:rPr>
              <w:t>西霞口外轮理货公司</w:t>
            </w:r>
          </w:p>
        </w:tc>
        <w:tc>
          <w:tcPr>
            <w:tcW w:w="2596" w:type="dxa"/>
            <w:tcBorders>
              <w:top w:val="single" w:color="auto" w:sz="4" w:space="0"/>
            </w:tcBorders>
            <w:vAlign w:val="center"/>
          </w:tcPr>
          <w:p>
            <w:pPr>
              <w:jc w:val="left"/>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20尺保安费</w:t>
            </w:r>
          </w:p>
        </w:tc>
        <w:tc>
          <w:tcPr>
            <w:tcW w:w="1440" w:type="dxa"/>
            <w:tcBorders>
              <w:top w:val="single" w:color="auto" w:sz="4" w:space="0"/>
              <w:right w:val="single" w:color="auto" w:sz="4" w:space="0"/>
            </w:tcBorders>
            <w:vAlign w:val="center"/>
          </w:tcPr>
          <w:p>
            <w:pPr>
              <w:jc w:val="center"/>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10元</w:t>
            </w:r>
          </w:p>
        </w:tc>
        <w:tc>
          <w:tcPr>
            <w:tcW w:w="1365" w:type="dxa"/>
            <w:tcBorders>
              <w:top w:val="single" w:color="auto" w:sz="4" w:space="0"/>
              <w:left w:val="single" w:color="auto" w:sz="4" w:space="0"/>
            </w:tcBorders>
            <w:vAlign w:val="center"/>
          </w:tcPr>
          <w:p>
            <w:pPr>
              <w:jc w:val="left"/>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TEU</w:t>
            </w:r>
          </w:p>
        </w:tc>
        <w:tc>
          <w:tcPr>
            <w:tcW w:w="2505" w:type="dxa"/>
            <w:vMerge w:val="restart"/>
            <w:tcBorders>
              <w:top w:val="single" w:color="auto" w:sz="4" w:space="0"/>
              <w:right w:val="single" w:color="auto" w:sz="4" w:space="0"/>
            </w:tcBorders>
            <w:vAlign w:val="top"/>
          </w:tcPr>
          <w:p>
            <w:pPr>
              <w:jc w:val="left"/>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eastAsia="zh-CN"/>
              </w:rPr>
              <w:t>经由港口吞吐的外贸进出口货物及集装箱，由取得《港口设施保安符合证书》的港口经营人，按《港口收费计费办法》规定费率向货方或其代理人分别计收进、出港港口设施保安费。</w:t>
            </w:r>
          </w:p>
        </w:tc>
        <w:tc>
          <w:tcPr>
            <w:tcW w:w="2520" w:type="dxa"/>
            <w:vMerge w:val="restart"/>
            <w:tcBorders>
              <w:top w:val="single" w:color="auto" w:sz="4" w:space="0"/>
              <w:left w:val="single" w:color="auto" w:sz="4" w:space="0"/>
              <w:right w:val="single" w:color="auto" w:sz="4" w:space="0"/>
            </w:tcBorders>
            <w:vAlign w:val="top"/>
          </w:tcPr>
          <w:p>
            <w:pPr>
              <w:jc w:val="left"/>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eastAsia="zh-CN"/>
              </w:rPr>
              <w:t>经营服务性收费（政府定价）。依据《港口收费计费办法》和《交通运输部 国家发展改革委关于调整港口船舶使费和港口设施保安费有关问题的通知》（交水发〔2015〕118号）等文件收取。</w:t>
            </w:r>
          </w:p>
        </w:tc>
        <w:tc>
          <w:tcPr>
            <w:tcW w:w="1647" w:type="dxa"/>
            <w:vMerge w:val="restart"/>
            <w:tcBorders>
              <w:top w:val="single" w:color="auto" w:sz="4" w:space="0"/>
              <w:left w:val="single" w:color="auto" w:sz="4" w:space="0"/>
            </w:tcBorders>
            <w:vAlign w:val="center"/>
          </w:tcPr>
          <w:p>
            <w:pPr>
              <w:jc w:val="left"/>
              <w:rPr>
                <w:rFonts w:hint="eastAsia" w:ascii="宋体" w:hAnsi="宋体" w:eastAsia="宋体"/>
                <w:color w:val="000000"/>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5" w:hRule="atLeast"/>
        </w:trPr>
        <w:tc>
          <w:tcPr>
            <w:tcW w:w="762" w:type="dxa"/>
            <w:vMerge w:val="continue"/>
            <w:tcBorders>
              <w:bottom w:val="nil"/>
            </w:tcBorders>
            <w:vAlign w:val="center"/>
          </w:tcPr>
          <w:p>
            <w:pPr>
              <w:jc w:val="center"/>
              <w:rPr>
                <w:rFonts w:hint="eastAsia" w:ascii="宋体" w:hAnsi="宋体" w:eastAsia="宋体"/>
                <w:color w:val="000000"/>
                <w:shd w:val="clear" w:color="auto" w:fill="FFFFFF"/>
                <w:lang w:eastAsia="zh-CN"/>
              </w:rPr>
            </w:pPr>
          </w:p>
        </w:tc>
        <w:tc>
          <w:tcPr>
            <w:tcW w:w="1304" w:type="dxa"/>
            <w:vMerge w:val="continue"/>
            <w:tcBorders>
              <w:bottom w:val="nil"/>
            </w:tcBorders>
            <w:vAlign w:val="center"/>
          </w:tcPr>
          <w:p>
            <w:pPr>
              <w:jc w:val="center"/>
              <w:rPr>
                <w:rFonts w:hint="eastAsia" w:ascii="宋体" w:hAnsi="宋体" w:eastAsia="宋体"/>
                <w:color w:val="000000"/>
                <w:shd w:val="clear" w:color="auto" w:fill="FFFFFF"/>
                <w:lang w:eastAsia="zh-CN"/>
              </w:rPr>
            </w:pPr>
          </w:p>
        </w:tc>
        <w:tc>
          <w:tcPr>
            <w:tcW w:w="2596" w:type="dxa"/>
            <w:tcBorders>
              <w:top w:val="single" w:color="auto" w:sz="4" w:space="0"/>
            </w:tcBorders>
            <w:vAlign w:val="center"/>
          </w:tcPr>
          <w:p>
            <w:pPr>
              <w:jc w:val="left"/>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40尺保安费</w:t>
            </w:r>
          </w:p>
        </w:tc>
        <w:tc>
          <w:tcPr>
            <w:tcW w:w="1440" w:type="dxa"/>
            <w:tcBorders>
              <w:top w:val="single" w:color="auto" w:sz="4" w:space="0"/>
              <w:right w:val="single" w:color="auto" w:sz="4" w:space="0"/>
            </w:tcBorders>
            <w:vAlign w:val="center"/>
          </w:tcPr>
          <w:p>
            <w:pPr>
              <w:jc w:val="center"/>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15元</w:t>
            </w:r>
          </w:p>
        </w:tc>
        <w:tc>
          <w:tcPr>
            <w:tcW w:w="1365" w:type="dxa"/>
            <w:tcBorders>
              <w:top w:val="single" w:color="auto" w:sz="4" w:space="0"/>
              <w:left w:val="single" w:color="auto" w:sz="4" w:space="0"/>
            </w:tcBorders>
            <w:vAlign w:val="center"/>
          </w:tcPr>
          <w:p>
            <w:pPr>
              <w:jc w:val="left"/>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FEU</w:t>
            </w:r>
          </w:p>
        </w:tc>
        <w:tc>
          <w:tcPr>
            <w:tcW w:w="2505" w:type="dxa"/>
            <w:vMerge w:val="continue"/>
            <w:tcBorders>
              <w:right w:val="single" w:color="auto" w:sz="4" w:space="0"/>
            </w:tcBorders>
            <w:vAlign w:val="top"/>
          </w:tcPr>
          <w:p>
            <w:pPr>
              <w:jc w:val="left"/>
              <w:rPr>
                <w:rFonts w:hint="eastAsia" w:ascii="宋体" w:hAnsi="宋体" w:eastAsia="宋体"/>
                <w:color w:val="000000"/>
                <w:shd w:val="clear" w:color="auto" w:fill="FFFFFF"/>
                <w:lang w:eastAsia="zh-CN"/>
              </w:rPr>
            </w:pPr>
          </w:p>
        </w:tc>
        <w:tc>
          <w:tcPr>
            <w:tcW w:w="2520" w:type="dxa"/>
            <w:vMerge w:val="continue"/>
            <w:tcBorders>
              <w:left w:val="single" w:color="auto" w:sz="4" w:space="0"/>
              <w:right w:val="single" w:color="auto" w:sz="4" w:space="0"/>
            </w:tcBorders>
            <w:vAlign w:val="top"/>
          </w:tcPr>
          <w:p>
            <w:pPr>
              <w:jc w:val="left"/>
              <w:rPr>
                <w:rFonts w:hint="eastAsia" w:ascii="宋体" w:hAnsi="宋体" w:eastAsia="宋体"/>
                <w:color w:val="000000"/>
                <w:shd w:val="clear" w:color="auto" w:fill="FFFFFF"/>
                <w:lang w:eastAsia="zh-CN"/>
              </w:rPr>
            </w:pPr>
          </w:p>
        </w:tc>
        <w:tc>
          <w:tcPr>
            <w:tcW w:w="1647" w:type="dxa"/>
            <w:vMerge w:val="continue"/>
            <w:tcBorders>
              <w:left w:val="single" w:color="auto" w:sz="4" w:space="0"/>
            </w:tcBorders>
            <w:vAlign w:val="center"/>
          </w:tcPr>
          <w:p>
            <w:pPr>
              <w:jc w:val="left"/>
              <w:rPr>
                <w:rFonts w:hint="eastAsia" w:ascii="宋体" w:hAnsi="宋体" w:eastAsia="宋体"/>
                <w:color w:val="000000"/>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8" w:hRule="atLeast"/>
        </w:trPr>
        <w:tc>
          <w:tcPr>
            <w:tcW w:w="762" w:type="dxa"/>
            <w:vMerge w:val="restart"/>
            <w:vAlign w:val="center"/>
          </w:tcPr>
          <w:p>
            <w:pPr>
              <w:jc w:val="center"/>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3</w:t>
            </w:r>
          </w:p>
        </w:tc>
        <w:tc>
          <w:tcPr>
            <w:tcW w:w="1304" w:type="dxa"/>
            <w:vMerge w:val="restart"/>
            <w:vAlign w:val="center"/>
          </w:tcPr>
          <w:p>
            <w:pPr>
              <w:jc w:val="center"/>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eastAsia="zh-CN"/>
              </w:rPr>
              <w:t>西霞口集装箱中转站</w:t>
            </w:r>
          </w:p>
        </w:tc>
        <w:tc>
          <w:tcPr>
            <w:tcW w:w="2596" w:type="dxa"/>
            <w:tcBorders>
              <w:top w:val="single" w:color="auto" w:sz="4" w:space="0"/>
            </w:tcBorders>
            <w:vAlign w:val="center"/>
          </w:tcPr>
          <w:p>
            <w:pPr>
              <w:jc w:val="left"/>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20尺人工查验服务费</w:t>
            </w:r>
          </w:p>
        </w:tc>
        <w:tc>
          <w:tcPr>
            <w:tcW w:w="1440" w:type="dxa"/>
            <w:tcBorders>
              <w:top w:val="single" w:color="auto" w:sz="4" w:space="0"/>
              <w:right w:val="single" w:color="auto" w:sz="4" w:space="0"/>
            </w:tcBorders>
            <w:vAlign w:val="center"/>
          </w:tcPr>
          <w:p>
            <w:pPr>
              <w:jc w:val="center"/>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550元</w:t>
            </w:r>
          </w:p>
        </w:tc>
        <w:tc>
          <w:tcPr>
            <w:tcW w:w="1365" w:type="dxa"/>
            <w:tcBorders>
              <w:top w:val="single" w:color="auto" w:sz="4" w:space="0"/>
              <w:left w:val="single" w:color="auto" w:sz="4" w:space="0"/>
            </w:tcBorders>
            <w:vAlign w:val="center"/>
          </w:tcPr>
          <w:p>
            <w:pPr>
              <w:jc w:val="left"/>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TEU</w:t>
            </w:r>
          </w:p>
        </w:tc>
        <w:tc>
          <w:tcPr>
            <w:tcW w:w="2505" w:type="dxa"/>
            <w:tcBorders>
              <w:top w:val="single" w:color="auto" w:sz="4" w:space="0"/>
              <w:right w:val="single" w:color="auto" w:sz="4" w:space="0"/>
            </w:tcBorders>
            <w:vAlign w:val="center"/>
          </w:tcPr>
          <w:p>
            <w:pPr>
              <w:jc w:val="both"/>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eastAsia="zh-CN"/>
              </w:rPr>
              <w:t>查验包干</w:t>
            </w:r>
          </w:p>
        </w:tc>
        <w:tc>
          <w:tcPr>
            <w:tcW w:w="2520" w:type="dxa"/>
            <w:vMerge w:val="restart"/>
            <w:tcBorders>
              <w:top w:val="single" w:color="auto" w:sz="4" w:space="0"/>
              <w:left w:val="single" w:color="auto" w:sz="4" w:space="0"/>
              <w:right w:val="single" w:color="auto" w:sz="4" w:space="0"/>
            </w:tcBorders>
            <w:vAlign w:val="top"/>
          </w:tcPr>
          <w:p>
            <w:pPr>
              <w:jc w:val="left"/>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eastAsia="zh-CN"/>
              </w:rPr>
              <w:t>经营服务性收费（政府指导价。依据《山东省人民政府办公厅关于印发山东省关于免除查验没有问题外贸企业吊装移位仓储费用全面试点工作的实施方案的通知》（鲁政办字[2016]47号）、《威海市口岸办公室威海市物价局威海市财政局关于威海市查验没有问题外贸企业吊装移位仓储费用补贴的意见》（威口岸字[2017]4号）、《关于印发威海市口岸查验没有问题外贸企业吊装移位仓储费用机检补贴标准的通知》（威口岸字[2018]3号）</w:t>
            </w:r>
          </w:p>
        </w:tc>
        <w:tc>
          <w:tcPr>
            <w:tcW w:w="1647" w:type="dxa"/>
            <w:vMerge w:val="restart"/>
            <w:tcBorders>
              <w:top w:val="single" w:color="auto" w:sz="4" w:space="0"/>
              <w:left w:val="single" w:color="auto" w:sz="4" w:space="0"/>
            </w:tcBorders>
            <w:vAlign w:val="center"/>
          </w:tcPr>
          <w:p>
            <w:pPr>
              <w:jc w:val="left"/>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eastAsia="zh-CN"/>
              </w:rPr>
              <w:t>查验无问题不收取，查验有问题收取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3" w:hRule="atLeast"/>
        </w:trPr>
        <w:tc>
          <w:tcPr>
            <w:tcW w:w="762" w:type="dxa"/>
            <w:vMerge w:val="continue"/>
            <w:vAlign w:val="center"/>
          </w:tcPr>
          <w:p>
            <w:pPr>
              <w:jc w:val="center"/>
              <w:rPr>
                <w:rFonts w:hint="eastAsia" w:ascii="宋体" w:hAnsi="宋体" w:eastAsia="宋体"/>
                <w:color w:val="000000"/>
                <w:shd w:val="clear" w:color="auto" w:fill="FFFFFF"/>
                <w:lang w:eastAsia="zh-CN"/>
              </w:rPr>
            </w:pPr>
          </w:p>
        </w:tc>
        <w:tc>
          <w:tcPr>
            <w:tcW w:w="1304" w:type="dxa"/>
            <w:vMerge w:val="continue"/>
            <w:vAlign w:val="center"/>
          </w:tcPr>
          <w:p>
            <w:pPr>
              <w:jc w:val="center"/>
              <w:rPr>
                <w:rFonts w:hint="eastAsia" w:ascii="宋体" w:hAnsi="宋体" w:eastAsia="宋体"/>
                <w:color w:val="000000"/>
                <w:shd w:val="clear" w:color="auto" w:fill="FFFFFF"/>
                <w:lang w:eastAsia="zh-CN"/>
              </w:rPr>
            </w:pPr>
          </w:p>
        </w:tc>
        <w:tc>
          <w:tcPr>
            <w:tcW w:w="2596" w:type="dxa"/>
            <w:tcBorders>
              <w:top w:val="single" w:color="auto" w:sz="4" w:space="0"/>
            </w:tcBorders>
            <w:vAlign w:val="center"/>
          </w:tcPr>
          <w:p>
            <w:pPr>
              <w:jc w:val="left"/>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40尺人工查验服务费</w:t>
            </w:r>
          </w:p>
        </w:tc>
        <w:tc>
          <w:tcPr>
            <w:tcW w:w="1440" w:type="dxa"/>
            <w:tcBorders>
              <w:top w:val="single" w:color="auto" w:sz="4" w:space="0"/>
              <w:right w:val="single" w:color="auto" w:sz="4" w:space="0"/>
            </w:tcBorders>
            <w:vAlign w:val="center"/>
          </w:tcPr>
          <w:p>
            <w:pPr>
              <w:jc w:val="center"/>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1000元</w:t>
            </w:r>
          </w:p>
        </w:tc>
        <w:tc>
          <w:tcPr>
            <w:tcW w:w="1365" w:type="dxa"/>
            <w:tcBorders>
              <w:top w:val="single" w:color="auto" w:sz="4" w:space="0"/>
              <w:left w:val="single" w:color="auto" w:sz="4" w:space="0"/>
            </w:tcBorders>
            <w:vAlign w:val="center"/>
          </w:tcPr>
          <w:p>
            <w:pPr>
              <w:jc w:val="left"/>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val="en-US" w:eastAsia="zh-CN"/>
              </w:rPr>
              <w:t>FEU</w:t>
            </w:r>
          </w:p>
        </w:tc>
        <w:tc>
          <w:tcPr>
            <w:tcW w:w="2505" w:type="dxa"/>
            <w:tcBorders>
              <w:top w:val="single" w:color="auto" w:sz="4" w:space="0"/>
              <w:right w:val="single" w:color="auto" w:sz="4" w:space="0"/>
            </w:tcBorders>
            <w:vAlign w:val="center"/>
          </w:tcPr>
          <w:p>
            <w:pPr>
              <w:jc w:val="both"/>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eastAsia="zh-CN"/>
              </w:rPr>
              <w:t>查验包干</w:t>
            </w:r>
          </w:p>
        </w:tc>
        <w:tc>
          <w:tcPr>
            <w:tcW w:w="2520" w:type="dxa"/>
            <w:vMerge w:val="continue"/>
            <w:tcBorders>
              <w:left w:val="single" w:color="auto" w:sz="4" w:space="0"/>
              <w:right w:val="single" w:color="auto" w:sz="4" w:space="0"/>
            </w:tcBorders>
            <w:vAlign w:val="top"/>
          </w:tcPr>
          <w:p>
            <w:pPr>
              <w:jc w:val="left"/>
              <w:rPr>
                <w:rFonts w:hint="eastAsia" w:ascii="宋体" w:hAnsi="宋体" w:eastAsia="宋体"/>
                <w:color w:val="000000"/>
                <w:shd w:val="clear" w:color="auto" w:fill="FFFFFF"/>
                <w:lang w:eastAsia="zh-CN"/>
              </w:rPr>
            </w:pPr>
          </w:p>
        </w:tc>
        <w:tc>
          <w:tcPr>
            <w:tcW w:w="1647" w:type="dxa"/>
            <w:vMerge w:val="continue"/>
            <w:tcBorders>
              <w:left w:val="single" w:color="auto" w:sz="4" w:space="0"/>
            </w:tcBorders>
            <w:vAlign w:val="center"/>
          </w:tcPr>
          <w:p>
            <w:pPr>
              <w:jc w:val="left"/>
              <w:rPr>
                <w:rFonts w:hint="eastAsia" w:ascii="宋体" w:hAnsi="宋体" w:eastAsia="宋体"/>
                <w:color w:val="000000"/>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8" w:hRule="atLeast"/>
        </w:trPr>
        <w:tc>
          <w:tcPr>
            <w:tcW w:w="762" w:type="dxa"/>
            <w:vMerge w:val="continue"/>
            <w:vAlign w:val="center"/>
          </w:tcPr>
          <w:p>
            <w:pPr>
              <w:jc w:val="center"/>
              <w:rPr>
                <w:rFonts w:hint="eastAsia" w:ascii="宋体" w:hAnsi="宋体" w:eastAsia="宋体"/>
                <w:color w:val="000000"/>
                <w:shd w:val="clear" w:color="auto" w:fill="FFFFFF"/>
                <w:lang w:eastAsia="zh-CN"/>
              </w:rPr>
            </w:pPr>
          </w:p>
        </w:tc>
        <w:tc>
          <w:tcPr>
            <w:tcW w:w="1304" w:type="dxa"/>
            <w:vMerge w:val="continue"/>
            <w:vAlign w:val="center"/>
          </w:tcPr>
          <w:p>
            <w:pPr>
              <w:jc w:val="center"/>
              <w:rPr>
                <w:rFonts w:hint="eastAsia" w:ascii="宋体" w:hAnsi="宋体" w:eastAsia="宋体"/>
                <w:color w:val="000000"/>
                <w:shd w:val="clear" w:color="auto" w:fill="FFFFFF"/>
                <w:lang w:eastAsia="zh-CN"/>
              </w:rPr>
            </w:pPr>
          </w:p>
        </w:tc>
        <w:tc>
          <w:tcPr>
            <w:tcW w:w="2596" w:type="dxa"/>
            <w:tcBorders>
              <w:top w:val="single" w:color="auto" w:sz="4" w:space="0"/>
            </w:tcBorders>
            <w:vAlign w:val="center"/>
          </w:tcPr>
          <w:p>
            <w:pPr>
              <w:jc w:val="left"/>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20尺机检查验服务费</w:t>
            </w:r>
          </w:p>
        </w:tc>
        <w:tc>
          <w:tcPr>
            <w:tcW w:w="1440" w:type="dxa"/>
            <w:tcBorders>
              <w:top w:val="single" w:color="auto" w:sz="4" w:space="0"/>
              <w:right w:val="single" w:color="auto" w:sz="4" w:space="0"/>
            </w:tcBorders>
            <w:vAlign w:val="center"/>
          </w:tcPr>
          <w:p>
            <w:pPr>
              <w:jc w:val="center"/>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672元</w:t>
            </w:r>
          </w:p>
        </w:tc>
        <w:tc>
          <w:tcPr>
            <w:tcW w:w="1365" w:type="dxa"/>
            <w:tcBorders>
              <w:top w:val="single" w:color="auto" w:sz="4" w:space="0"/>
              <w:left w:val="single" w:color="auto" w:sz="4" w:space="0"/>
            </w:tcBorders>
            <w:vAlign w:val="center"/>
          </w:tcPr>
          <w:p>
            <w:pPr>
              <w:jc w:val="left"/>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val="en-US" w:eastAsia="zh-CN"/>
              </w:rPr>
              <w:t>TEU</w:t>
            </w:r>
          </w:p>
        </w:tc>
        <w:tc>
          <w:tcPr>
            <w:tcW w:w="2505" w:type="dxa"/>
            <w:tcBorders>
              <w:top w:val="single" w:color="auto" w:sz="4" w:space="0"/>
              <w:right w:val="single" w:color="auto" w:sz="4" w:space="0"/>
            </w:tcBorders>
            <w:vAlign w:val="center"/>
          </w:tcPr>
          <w:p>
            <w:pPr>
              <w:jc w:val="both"/>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eastAsia="zh-CN"/>
              </w:rPr>
              <w:t>查验包干</w:t>
            </w:r>
          </w:p>
        </w:tc>
        <w:tc>
          <w:tcPr>
            <w:tcW w:w="2520" w:type="dxa"/>
            <w:vMerge w:val="continue"/>
            <w:tcBorders>
              <w:left w:val="single" w:color="auto" w:sz="4" w:space="0"/>
              <w:right w:val="single" w:color="auto" w:sz="4" w:space="0"/>
            </w:tcBorders>
            <w:vAlign w:val="top"/>
          </w:tcPr>
          <w:p>
            <w:pPr>
              <w:jc w:val="left"/>
              <w:rPr>
                <w:rFonts w:hint="eastAsia" w:ascii="宋体" w:hAnsi="宋体" w:eastAsia="宋体"/>
                <w:color w:val="000000"/>
                <w:shd w:val="clear" w:color="auto" w:fill="FFFFFF"/>
                <w:lang w:eastAsia="zh-CN"/>
              </w:rPr>
            </w:pPr>
          </w:p>
        </w:tc>
        <w:tc>
          <w:tcPr>
            <w:tcW w:w="1647" w:type="dxa"/>
            <w:vMerge w:val="continue"/>
            <w:tcBorders>
              <w:left w:val="single" w:color="auto" w:sz="4" w:space="0"/>
            </w:tcBorders>
            <w:vAlign w:val="center"/>
          </w:tcPr>
          <w:p>
            <w:pPr>
              <w:jc w:val="left"/>
              <w:rPr>
                <w:rFonts w:hint="eastAsia" w:ascii="宋体" w:hAnsi="宋体" w:eastAsia="宋体"/>
                <w:color w:val="000000"/>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3" w:hRule="atLeast"/>
        </w:trPr>
        <w:tc>
          <w:tcPr>
            <w:tcW w:w="762" w:type="dxa"/>
            <w:vMerge w:val="continue"/>
            <w:vAlign w:val="center"/>
          </w:tcPr>
          <w:p>
            <w:pPr>
              <w:jc w:val="center"/>
              <w:rPr>
                <w:rFonts w:hint="eastAsia" w:ascii="宋体" w:hAnsi="宋体" w:eastAsia="宋体"/>
                <w:color w:val="000000"/>
                <w:shd w:val="clear" w:color="auto" w:fill="FFFFFF"/>
                <w:lang w:eastAsia="zh-CN"/>
              </w:rPr>
            </w:pPr>
          </w:p>
        </w:tc>
        <w:tc>
          <w:tcPr>
            <w:tcW w:w="1304" w:type="dxa"/>
            <w:vMerge w:val="continue"/>
            <w:vAlign w:val="center"/>
          </w:tcPr>
          <w:p>
            <w:pPr>
              <w:jc w:val="center"/>
              <w:rPr>
                <w:rFonts w:hint="eastAsia" w:ascii="宋体" w:hAnsi="宋体" w:eastAsia="宋体"/>
                <w:color w:val="000000"/>
                <w:shd w:val="clear" w:color="auto" w:fill="FFFFFF"/>
                <w:lang w:eastAsia="zh-CN"/>
              </w:rPr>
            </w:pPr>
          </w:p>
        </w:tc>
        <w:tc>
          <w:tcPr>
            <w:tcW w:w="2596" w:type="dxa"/>
            <w:tcBorders>
              <w:top w:val="single" w:color="auto" w:sz="4" w:space="0"/>
            </w:tcBorders>
            <w:vAlign w:val="center"/>
          </w:tcPr>
          <w:p>
            <w:pPr>
              <w:jc w:val="left"/>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val="en-US" w:eastAsia="zh-CN"/>
              </w:rPr>
              <w:t>40尺机检查验服务费</w:t>
            </w:r>
          </w:p>
        </w:tc>
        <w:tc>
          <w:tcPr>
            <w:tcW w:w="1440" w:type="dxa"/>
            <w:tcBorders>
              <w:top w:val="single" w:color="auto" w:sz="4" w:space="0"/>
              <w:right w:val="single" w:color="auto" w:sz="4" w:space="0"/>
            </w:tcBorders>
            <w:vAlign w:val="center"/>
          </w:tcPr>
          <w:p>
            <w:pPr>
              <w:jc w:val="center"/>
              <w:rPr>
                <w:rFonts w:hint="eastAsia" w:ascii="宋体" w:hAnsi="宋体" w:eastAsia="宋体"/>
                <w:color w:val="000000"/>
                <w:shd w:val="clear" w:color="auto" w:fill="FFFFFF"/>
                <w:lang w:val="en-US" w:eastAsia="zh-CN"/>
              </w:rPr>
            </w:pPr>
            <w:r>
              <w:rPr>
                <w:rFonts w:hint="eastAsia" w:ascii="宋体" w:hAnsi="宋体" w:eastAsia="宋体"/>
                <w:color w:val="000000"/>
                <w:shd w:val="clear" w:color="auto" w:fill="FFFFFF"/>
                <w:lang w:val="en-US" w:eastAsia="zh-CN"/>
              </w:rPr>
              <w:t>862元</w:t>
            </w:r>
          </w:p>
        </w:tc>
        <w:tc>
          <w:tcPr>
            <w:tcW w:w="1365" w:type="dxa"/>
            <w:tcBorders>
              <w:top w:val="single" w:color="auto" w:sz="4" w:space="0"/>
              <w:left w:val="single" w:color="auto" w:sz="4" w:space="0"/>
            </w:tcBorders>
            <w:vAlign w:val="center"/>
          </w:tcPr>
          <w:p>
            <w:pPr>
              <w:jc w:val="left"/>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val="en-US" w:eastAsia="zh-CN"/>
              </w:rPr>
              <w:t>FEU</w:t>
            </w:r>
          </w:p>
        </w:tc>
        <w:tc>
          <w:tcPr>
            <w:tcW w:w="2505" w:type="dxa"/>
            <w:tcBorders>
              <w:top w:val="single" w:color="auto" w:sz="4" w:space="0"/>
              <w:right w:val="single" w:color="auto" w:sz="4" w:space="0"/>
            </w:tcBorders>
            <w:vAlign w:val="center"/>
          </w:tcPr>
          <w:p>
            <w:pPr>
              <w:jc w:val="both"/>
              <w:rPr>
                <w:rFonts w:hint="eastAsia" w:ascii="宋体" w:hAnsi="宋体" w:eastAsia="宋体"/>
                <w:color w:val="000000"/>
                <w:shd w:val="clear" w:color="auto" w:fill="FFFFFF"/>
                <w:lang w:eastAsia="zh-CN"/>
              </w:rPr>
            </w:pPr>
            <w:r>
              <w:rPr>
                <w:rFonts w:hint="eastAsia" w:ascii="宋体" w:hAnsi="宋体" w:eastAsia="宋体"/>
                <w:color w:val="000000"/>
                <w:shd w:val="clear" w:color="auto" w:fill="FFFFFF"/>
                <w:lang w:eastAsia="zh-CN"/>
              </w:rPr>
              <w:t>查验包干</w:t>
            </w:r>
          </w:p>
        </w:tc>
        <w:tc>
          <w:tcPr>
            <w:tcW w:w="2520" w:type="dxa"/>
            <w:vMerge w:val="continue"/>
            <w:tcBorders>
              <w:left w:val="single" w:color="auto" w:sz="4" w:space="0"/>
              <w:right w:val="single" w:color="auto" w:sz="4" w:space="0"/>
            </w:tcBorders>
            <w:vAlign w:val="top"/>
          </w:tcPr>
          <w:p>
            <w:pPr>
              <w:jc w:val="left"/>
              <w:rPr>
                <w:rFonts w:hint="eastAsia" w:ascii="宋体" w:hAnsi="宋体" w:eastAsia="宋体"/>
                <w:color w:val="000000"/>
                <w:shd w:val="clear" w:color="auto" w:fill="FFFFFF"/>
                <w:lang w:eastAsia="zh-CN"/>
              </w:rPr>
            </w:pPr>
          </w:p>
        </w:tc>
        <w:tc>
          <w:tcPr>
            <w:tcW w:w="1647" w:type="dxa"/>
            <w:vMerge w:val="continue"/>
            <w:tcBorders>
              <w:left w:val="single" w:color="auto" w:sz="4" w:space="0"/>
            </w:tcBorders>
            <w:vAlign w:val="center"/>
          </w:tcPr>
          <w:p>
            <w:pPr>
              <w:jc w:val="left"/>
              <w:rPr>
                <w:rFonts w:hint="eastAsia" w:ascii="宋体" w:hAnsi="宋体" w:eastAsia="宋体"/>
                <w:color w:val="000000"/>
                <w:shd w:val="clear" w:color="auto" w:fill="FFFFFF"/>
                <w:lang w:eastAsia="zh-CN"/>
              </w:rPr>
            </w:pPr>
          </w:p>
        </w:tc>
      </w:tr>
    </w:tbl>
    <w:p>
      <w:pPr>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br w:type="page"/>
      </w:r>
    </w:p>
    <w:p>
      <w:pPr>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龙眼港箱站经营人收费目录清单</w:t>
      </w:r>
    </w:p>
    <w:tbl>
      <w:tblPr>
        <w:tblStyle w:val="3"/>
        <w:tblpPr w:leftFromText="180" w:rightFromText="180" w:vertAnchor="text" w:horzAnchor="page" w:tblpX="1014" w:tblpY="249"/>
        <w:tblOverlap w:val="never"/>
        <w:tblW w:w="14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875"/>
        <w:gridCol w:w="2640"/>
        <w:gridCol w:w="2085"/>
        <w:gridCol w:w="1815"/>
        <w:gridCol w:w="2520"/>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Align w:val="center"/>
          </w:tcPr>
          <w:p>
            <w:pPr>
              <w:jc w:val="center"/>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sz w:val="32"/>
                <w:szCs w:val="32"/>
                <w:lang w:eastAsia="zh-CN"/>
              </w:rPr>
              <w:t>序号</w:t>
            </w:r>
          </w:p>
        </w:tc>
        <w:tc>
          <w:tcPr>
            <w:tcW w:w="1875" w:type="dxa"/>
            <w:vAlign w:val="center"/>
          </w:tcPr>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收费</w:t>
            </w:r>
          </w:p>
          <w:p>
            <w:pPr>
              <w:jc w:val="center"/>
              <w:rPr>
                <w:rFonts w:hint="eastAsia" w:ascii="黑体" w:hAnsi="黑体" w:eastAsia="黑体" w:cs="黑体"/>
                <w:color w:val="000000"/>
                <w:sz w:val="32"/>
                <w:szCs w:val="32"/>
                <w:shd w:val="clear" w:color="auto" w:fill="FFFFFF"/>
                <w:lang w:eastAsia="zh-CN"/>
              </w:rPr>
            </w:pPr>
            <w:r>
              <w:rPr>
                <w:rFonts w:hint="eastAsia" w:ascii="黑体" w:hAnsi="黑体" w:eastAsia="黑体" w:cs="黑体"/>
                <w:sz w:val="32"/>
                <w:szCs w:val="32"/>
                <w:lang w:eastAsia="zh-CN"/>
              </w:rPr>
              <w:t>主体</w:t>
            </w:r>
          </w:p>
        </w:tc>
        <w:tc>
          <w:tcPr>
            <w:tcW w:w="2640" w:type="dxa"/>
            <w:tcBorders>
              <w:top w:val="single" w:color="auto" w:sz="4" w:space="0"/>
            </w:tcBorders>
            <w:vAlign w:val="center"/>
          </w:tcPr>
          <w:p>
            <w:pPr>
              <w:jc w:val="center"/>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sz w:val="32"/>
                <w:szCs w:val="32"/>
                <w:lang w:eastAsia="zh-CN"/>
              </w:rPr>
              <w:t>项目名称</w:t>
            </w:r>
          </w:p>
        </w:tc>
        <w:tc>
          <w:tcPr>
            <w:tcW w:w="2085" w:type="dxa"/>
            <w:tcBorders>
              <w:top w:val="single" w:color="auto" w:sz="4" w:space="0"/>
              <w:right w:val="single" w:color="auto" w:sz="4" w:space="0"/>
            </w:tcBorders>
            <w:vAlign w:val="center"/>
          </w:tcPr>
          <w:p>
            <w:pPr>
              <w:jc w:val="center"/>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sz w:val="32"/>
                <w:szCs w:val="32"/>
                <w:lang w:eastAsia="zh-CN"/>
              </w:rPr>
              <w:t>收费标准</w:t>
            </w:r>
          </w:p>
        </w:tc>
        <w:tc>
          <w:tcPr>
            <w:tcW w:w="1815" w:type="dxa"/>
            <w:tcBorders>
              <w:top w:val="single" w:color="auto" w:sz="4" w:space="0"/>
              <w:left w:val="single" w:color="auto" w:sz="4" w:space="0"/>
            </w:tcBorders>
            <w:vAlign w:val="center"/>
          </w:tcPr>
          <w:p>
            <w:pPr>
              <w:jc w:val="center"/>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sz w:val="32"/>
                <w:szCs w:val="32"/>
                <w:lang w:eastAsia="zh-CN"/>
              </w:rPr>
              <w:t>计价单位</w:t>
            </w:r>
          </w:p>
        </w:tc>
        <w:tc>
          <w:tcPr>
            <w:tcW w:w="2520" w:type="dxa"/>
            <w:tcBorders>
              <w:top w:val="single" w:color="auto" w:sz="4" w:space="0"/>
              <w:right w:val="single" w:color="auto" w:sz="4" w:space="0"/>
            </w:tcBorders>
            <w:vAlign w:val="center"/>
          </w:tcPr>
          <w:p>
            <w:pPr>
              <w:jc w:val="center"/>
              <w:rPr>
                <w:rFonts w:hint="eastAsia" w:ascii="黑体" w:hAnsi="黑体" w:eastAsia="黑体" w:cs="黑体"/>
                <w:color w:val="000000"/>
                <w:sz w:val="32"/>
                <w:szCs w:val="32"/>
                <w:shd w:val="clear" w:color="auto" w:fill="FFFFFF"/>
                <w:lang w:eastAsia="zh-CN"/>
              </w:rPr>
            </w:pPr>
            <w:r>
              <w:rPr>
                <w:rFonts w:hint="eastAsia" w:ascii="黑体" w:hAnsi="黑体" w:eastAsia="黑体" w:cs="黑体"/>
                <w:sz w:val="32"/>
                <w:szCs w:val="32"/>
                <w:lang w:eastAsia="zh-CN"/>
              </w:rPr>
              <w:t>服务内容</w:t>
            </w:r>
          </w:p>
        </w:tc>
        <w:tc>
          <w:tcPr>
            <w:tcW w:w="2055" w:type="dxa"/>
            <w:tcBorders>
              <w:top w:val="single" w:color="auto" w:sz="4" w:space="0"/>
              <w:left w:val="single" w:color="auto" w:sz="4" w:space="0"/>
            </w:tcBorders>
            <w:vAlign w:val="center"/>
          </w:tcPr>
          <w:p>
            <w:pPr>
              <w:jc w:val="center"/>
              <w:rPr>
                <w:rFonts w:hint="eastAsia" w:ascii="黑体" w:hAnsi="黑体" w:eastAsia="黑体" w:cs="黑体"/>
                <w:color w:val="000000"/>
                <w:sz w:val="32"/>
                <w:szCs w:val="32"/>
                <w:shd w:val="clear" w:color="auto" w:fill="FFFFFF"/>
                <w:lang w:eastAsia="zh-CN"/>
              </w:rPr>
            </w:pPr>
            <w:r>
              <w:rPr>
                <w:rFonts w:hint="eastAsia" w:ascii="黑体" w:hAnsi="黑体" w:eastAsia="黑体" w:cs="黑体"/>
                <w:sz w:val="32"/>
                <w:szCs w:val="32"/>
                <w:lang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restart"/>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1</w:t>
            </w:r>
          </w:p>
        </w:tc>
        <w:tc>
          <w:tcPr>
            <w:tcW w:w="1875" w:type="dxa"/>
            <w:vMerge w:val="restart"/>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西霞口集装箱中转站</w:t>
            </w: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20尺普通进口场站费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470元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港杂包干</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20尺普通进口拆箱费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人工拆箱</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20尺普通进口装箱费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工人装箱</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20尺普通进口堆存费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30元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TEU/天</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场地堆存</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超10天收费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20尺普通进口装卸费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262元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装卸包干</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20尺普通进口搬移费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60元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机械吊箱</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不产生不收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restart"/>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w:t>
            </w:r>
          </w:p>
        </w:tc>
        <w:tc>
          <w:tcPr>
            <w:tcW w:w="1875" w:type="dxa"/>
            <w:vMerge w:val="restart"/>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西霞口集装箱中转站</w:t>
            </w: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40尺普通进口场站费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700元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港杂包干</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40尺普通进口拆箱费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人工拆箱</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40尺普通进口装箱费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工人装箱</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40尺普通进口堆存费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60元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FEU/天</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场地堆存</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超10天收费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40尺普通进口装卸费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393元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装卸包干</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40尺普通进口搬移费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120元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机械吊箱</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不产生不收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restart"/>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3</w:t>
            </w:r>
          </w:p>
        </w:tc>
        <w:tc>
          <w:tcPr>
            <w:tcW w:w="1875" w:type="dxa"/>
            <w:vMerge w:val="restart"/>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西霞口集装箱中转站</w:t>
            </w: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20尺冷冻进口场站费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520元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港杂包干</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20尺冷冻进口拆箱费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人工拆箱</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20尺冷冻进口装箱费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工人装箱</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20尺冷冻进口堆存费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30元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TEU/天</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场地堆存</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超10天收费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20尺冷冻进口装卸费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288元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装卸包干</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20尺冷冻进口搬移费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60元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机械吊箱</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不产生不收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20尺冷冻进口挂机费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450元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TEU/天</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挂机制冷</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不产生不收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20尺冷冻进口制冷费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80元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TEU/天</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插电制冷</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超1天收费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restart"/>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w:t>
            </w:r>
          </w:p>
        </w:tc>
        <w:tc>
          <w:tcPr>
            <w:tcW w:w="1875" w:type="dxa"/>
            <w:vMerge w:val="restart"/>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西霞口集装箱中转站</w:t>
            </w: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40尺冷冻进口场站费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800元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港杂包干</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40尺冷冻进口拆箱费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人工拆箱</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40尺冷冻进口装箱费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工人装箱</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40尺冷冻进口堆存费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60元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FEU/天</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场地堆存</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超10天收费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40尺冷冻进口装卸费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433元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装卸包干</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40尺冷冻进口搬移费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120元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机械吊箱</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不产生不收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40尺冷冻进口挂机费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450元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FEU/天</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挂机制冷</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不产生不收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40尺冷冻进口制冷费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120元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FEU/天</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插电制冷</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超1天收费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restart"/>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5</w:t>
            </w:r>
          </w:p>
        </w:tc>
        <w:tc>
          <w:tcPr>
            <w:tcW w:w="1875" w:type="dxa"/>
            <w:vMerge w:val="restart"/>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西霞口集装箱中转站</w:t>
            </w: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20尺普通出口场站费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370元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港杂包干</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20尺普通出口拆箱费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人工拆箱</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top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20尺普通出口装箱费</w:t>
            </w:r>
          </w:p>
        </w:tc>
        <w:tc>
          <w:tcPr>
            <w:tcW w:w="2085" w:type="dxa"/>
            <w:tcBorders>
              <w:top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200元</w:t>
            </w:r>
          </w:p>
        </w:tc>
        <w:tc>
          <w:tcPr>
            <w:tcW w:w="1815" w:type="dxa"/>
            <w:tcBorders>
              <w:top w:val="single" w:color="auto" w:sz="4" w:space="0"/>
              <w:lef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top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工人装箱</w:t>
            </w:r>
          </w:p>
        </w:tc>
        <w:tc>
          <w:tcPr>
            <w:tcW w:w="2055" w:type="dxa"/>
            <w:tcBorders>
              <w:top w:val="single" w:color="auto" w:sz="4" w:space="0"/>
              <w:left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20尺普通出口堆存费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30元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TEU/天</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场地堆存</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超10天收费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20尺普通出口装卸费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262元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装卸包干</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tcBorders>
              <w:bottom w:val="nil"/>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tcBorders>
              <w:bottom w:val="nil"/>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20尺普通出口搬移费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60元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机械吊箱</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不产生不收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3" w:hRule="atLeast"/>
        </w:trPr>
        <w:tc>
          <w:tcPr>
            <w:tcW w:w="1064" w:type="dxa"/>
            <w:vMerge w:val="restart"/>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6</w:t>
            </w:r>
          </w:p>
        </w:tc>
        <w:tc>
          <w:tcPr>
            <w:tcW w:w="1875" w:type="dxa"/>
            <w:vMerge w:val="restart"/>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西霞口集装箱中转站</w:t>
            </w: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40尺普通出口场站费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570元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港杂包干</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40尺普通出口拆箱费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人工拆箱</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40尺普通出口装箱费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工人装箱</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40尺普通出口堆存费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60元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FEU/天</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场地堆存</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超10天收费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40尺普通出口装卸费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393元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装卸包干</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tcBorders>
              <w:bottom w:val="nil"/>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tcBorders>
              <w:bottom w:val="nil"/>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40尺普通出口搬移费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120元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机械吊箱</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不产生不收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restart"/>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7</w:t>
            </w:r>
          </w:p>
        </w:tc>
        <w:tc>
          <w:tcPr>
            <w:tcW w:w="1875" w:type="dxa"/>
            <w:vMerge w:val="restart"/>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西霞口集装箱中转站</w:t>
            </w: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20尺冷冻出口场站费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420元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港杂包干</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20尺冷冻出口拆箱费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人工拆箱</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20尺冷冻出口装箱费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工人装箱</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20尺冷冻出口堆存费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30元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TEU/天</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场地堆存</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超10天收费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20尺冷冻出口装卸费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288元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装卸包干</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20尺冷冻出口搬移费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60元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机械吊箱</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不产生不收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20尺冷冻出口挂机费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450元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TEU/天</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挂机制冷</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不产生不收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tcBorders>
              <w:bottom w:val="nil"/>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tcBorders>
              <w:bottom w:val="nil"/>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20尺冷冻出口制冷费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80元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TEU/天</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插电制冷</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超1天收费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restart"/>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8</w:t>
            </w:r>
          </w:p>
        </w:tc>
        <w:tc>
          <w:tcPr>
            <w:tcW w:w="1875" w:type="dxa"/>
            <w:vMerge w:val="restart"/>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西霞口集装箱中转站</w:t>
            </w: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40尺冷冻出口场站费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670元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港杂包干</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40尺冷冻出口拆箱费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人工拆箱</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40尺冷冻出口装箱费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工人装箱</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40尺冷冻出口堆存费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60元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FEU/天</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场地堆存</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超10天收费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40尺冷冻出口装卸费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433元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装卸包干</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40尺冷冻出口搬移费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120元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机械吊箱</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不产生不收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40尺冷冻出口挂机费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450元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FEU/天</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挂机制冷</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不产生不收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tcBorders>
              <w:bottom w:val="nil"/>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tcBorders>
              <w:bottom w:val="nil"/>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40尺冷冻出口制冷费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120元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FEU/天</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插电制冷</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超1天收费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restart"/>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9</w:t>
            </w:r>
          </w:p>
        </w:tc>
        <w:tc>
          <w:tcPr>
            <w:tcW w:w="1875" w:type="dxa"/>
            <w:vMerge w:val="restart"/>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西霞口集装箱中转站</w:t>
            </w: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20尺普通空箱装卸费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181元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港杂包干</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20尺冷冻空箱装卸费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200元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TEU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港杂包干</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40尺普通空箱装卸费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272元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港杂包干</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64" w:type="dxa"/>
            <w:vMerge w:val="continue"/>
            <w:tcBorders>
              <w:bottom w:val="nil"/>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p>
        </w:tc>
        <w:tc>
          <w:tcPr>
            <w:tcW w:w="1875" w:type="dxa"/>
            <w:vMerge w:val="continue"/>
            <w:tcBorders>
              <w:bottom w:val="nil"/>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c>
          <w:tcPr>
            <w:tcW w:w="2640" w:type="dxa"/>
            <w:tcBorders>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40尺冷冻空箱装卸费</w:t>
            </w:r>
          </w:p>
        </w:tc>
        <w:tc>
          <w:tcPr>
            <w:tcW w:w="2085" w:type="dxa"/>
            <w:tcBorders>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300元</w:t>
            </w:r>
          </w:p>
        </w:tc>
        <w:tc>
          <w:tcPr>
            <w:tcW w:w="1815" w:type="dxa"/>
            <w:tcBorders>
              <w:left w:val="single" w:color="auto" w:sz="4" w:space="0"/>
              <w:bottom w:val="single" w:color="auto" w:sz="4" w:space="0"/>
            </w:tcBorders>
            <w:vAlign w:val="center"/>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FEU</w:t>
            </w:r>
          </w:p>
        </w:tc>
        <w:tc>
          <w:tcPr>
            <w:tcW w:w="2520" w:type="dxa"/>
            <w:tcBorders>
              <w:bottom w:val="single" w:color="auto" w:sz="4" w:space="0"/>
              <w:right w:val="single" w:color="auto" w:sz="4" w:space="0"/>
            </w:tcBorders>
            <w:vAlign w:val="top"/>
          </w:tcPr>
          <w:p>
            <w:pPr>
              <w:widowControl/>
              <w:jc w:val="center"/>
              <w:rPr>
                <w:rFonts w:hint="eastAsia" w:ascii="宋体" w:hAnsi="宋体" w:eastAsia="宋体" w:cs="Times New Roman"/>
                <w:color w:val="000000"/>
                <w:kern w:val="0"/>
                <w:sz w:val="24"/>
                <w:shd w:val="clear" w:color="auto" w:fill="FFFFFF"/>
                <w:lang w:val="en-US" w:eastAsia="zh-CN"/>
              </w:rPr>
            </w:pPr>
            <w:r>
              <w:rPr>
                <w:rFonts w:hint="eastAsia" w:ascii="宋体" w:hAnsi="宋体" w:eastAsia="宋体" w:cs="Times New Roman"/>
                <w:color w:val="000000"/>
                <w:kern w:val="0"/>
                <w:sz w:val="24"/>
                <w:shd w:val="clear" w:color="auto" w:fill="FFFFFF"/>
                <w:lang w:val="en-US" w:eastAsia="zh-CN"/>
              </w:rPr>
              <w:t>港杂包干</w:t>
            </w:r>
          </w:p>
        </w:tc>
        <w:tc>
          <w:tcPr>
            <w:tcW w:w="2055" w:type="dxa"/>
            <w:tcBorders>
              <w:left w:val="single" w:color="auto" w:sz="4" w:space="0"/>
              <w:bottom w:val="single" w:color="auto" w:sz="4" w:space="0"/>
            </w:tcBorders>
            <w:vAlign w:val="center"/>
          </w:tcPr>
          <w:p>
            <w:pPr>
              <w:widowControl/>
              <w:jc w:val="left"/>
              <w:rPr>
                <w:rFonts w:hint="eastAsia" w:ascii="宋体" w:hAnsi="宋体" w:eastAsia="宋体" w:cs="Times New Roman"/>
                <w:color w:val="000000"/>
                <w:kern w:val="0"/>
                <w:sz w:val="24"/>
                <w:shd w:val="clear" w:color="auto" w:fill="FFFFFF"/>
                <w:lang w:val="en-US" w:eastAsia="zh-CN"/>
              </w:rPr>
            </w:pPr>
          </w:p>
        </w:tc>
      </w:tr>
    </w:tbl>
    <w:p>
      <w:pPr>
        <w:jc w:val="both"/>
        <w:rPr>
          <w:rFonts w:hint="eastAsia" w:ascii="方正仿宋_GBK" w:eastAsia="方正仿宋_GBK"/>
          <w:szCs w:val="32"/>
          <w:lang w:eastAsia="zh-CN"/>
        </w:rPr>
      </w:pPr>
    </w:p>
    <w:p>
      <w:pPr>
        <w:jc w:val="both"/>
        <w:rPr>
          <w:rFonts w:hint="eastAsia" w:ascii="方正仿宋_GBK" w:eastAsia="方正仿宋_GBK"/>
          <w:szCs w:val="32"/>
          <w:lang w:eastAsia="zh-CN"/>
        </w:rPr>
      </w:pPr>
      <w:r>
        <w:rPr>
          <w:rFonts w:hint="eastAsia" w:ascii="方正仿宋_GBK" w:eastAsia="方正仿宋_GBK"/>
          <w:szCs w:val="32"/>
          <w:lang w:eastAsia="zh-CN"/>
        </w:rPr>
        <w:t>注：1.行政事业性收费、政府性基金、实行政府定价（含政府指导价）的经营服务性收费适用本表。</w:t>
      </w:r>
    </w:p>
    <w:p>
      <w:pPr>
        <w:jc w:val="both"/>
        <w:rPr>
          <w:rFonts w:hint="eastAsia" w:ascii="方正仿宋_GBK" w:eastAsia="方正仿宋_GBK"/>
          <w:szCs w:val="32"/>
          <w:lang w:eastAsia="zh-CN"/>
        </w:rPr>
      </w:pPr>
      <w:r>
        <w:rPr>
          <w:rFonts w:hint="eastAsia" w:ascii="方正仿宋_GBK" w:eastAsia="方正仿宋_GBK"/>
          <w:szCs w:val="32"/>
          <w:lang w:eastAsia="zh-CN"/>
        </w:rPr>
        <w:t xml:space="preserve">    2.收费形式是指该项收费是属于行政事业性收费、政府性基金或经营服务性收费。其中，属于经营服务性收费的项目，按实际情况分别填写“政府定价”或“政府指导价”。</w:t>
      </w:r>
    </w:p>
    <w:p>
      <w:pPr>
        <w:jc w:val="both"/>
        <w:rPr>
          <w:rFonts w:hint="eastAsia" w:ascii="方正仿宋_GBK" w:eastAsia="方正仿宋_GBK"/>
          <w:szCs w:val="32"/>
          <w:lang w:eastAsia="zh-CN"/>
        </w:rPr>
      </w:pPr>
      <w:r>
        <w:rPr>
          <w:rFonts w:hint="eastAsia" w:ascii="方正仿宋_GBK" w:eastAsia="方正仿宋_GBK"/>
          <w:szCs w:val="32"/>
          <w:lang w:eastAsia="zh-CN"/>
        </w:rPr>
        <w:t xml:space="preserve">    3.在收费标准中应注明进口或出口。</w:t>
      </w:r>
      <w:bookmarkStart w:id="0" w:name="_GoBack"/>
      <w:bookmarkEnd w:id="0"/>
    </w:p>
    <w:p>
      <w:pPr>
        <w:jc w:val="both"/>
        <w:rPr>
          <w:rFonts w:hint="eastAsia" w:ascii="方正仿宋_GBK" w:eastAsia="方正仿宋_GBK"/>
          <w:szCs w:val="32"/>
          <w:lang w:eastAsia="zh-CN"/>
        </w:rPr>
      </w:pPr>
      <w:r>
        <w:rPr>
          <w:rFonts w:hint="eastAsia" w:ascii="方正仿宋_GBK" w:eastAsia="方正仿宋_GBK"/>
          <w:szCs w:val="32"/>
          <w:lang w:eastAsia="zh-CN"/>
        </w:rPr>
        <w:t xml:space="preserve">    4.项目名称有增加或者已列项目在本口岸不收取的，可以增删。</w:t>
      </w:r>
    </w:p>
    <w:p>
      <w:pPr>
        <w:ind w:firstLine="420" w:firstLineChars="200"/>
      </w:pPr>
      <w:r>
        <w:rPr>
          <w:rFonts w:hint="eastAsia" w:ascii="方正仿宋_GBK" w:eastAsia="方正仿宋_GBK"/>
          <w:szCs w:val="32"/>
          <w:lang w:eastAsia="zh-CN"/>
        </w:rPr>
        <w:t>5.服务内容、收费形式及依据供各地填写时参考，不准确的地方可以修改。没有的要补充完善。</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96697"/>
    <w:rsid w:val="1CD51543"/>
    <w:rsid w:val="29FB6244"/>
    <w:rsid w:val="57530016"/>
    <w:rsid w:val="6D535020"/>
    <w:rsid w:val="7D096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小标宋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2018-11-15T07:04:00Z</dcterms:created>
  <dc:creator>Administrator</dc:creator>
  <cp:lastModifiedBy>Administrator</cp:lastModifiedBy>
  <dcterms:modified xsi:type="dcterms:W3CDTF">2018-11-26T08:22:19Z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